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p>
    <w:p>
      <w:pPr>
        <w:widowControl/>
        <w:jc w:val="left"/>
        <w:rPr>
          <w:rFonts w:ascii="黑体" w:hAnsi="黑体" w:eastAsia="黑体" w:cs="黑体"/>
          <w:sz w:val="32"/>
          <w:szCs w:val="32"/>
        </w:rPr>
      </w:pPr>
      <w:r>
        <w:rPr>
          <w:rFonts w:hint="eastAsia" w:ascii="黑体" w:hAnsi="黑体" w:eastAsia="黑体" w:cs="黑体"/>
          <w:sz w:val="32"/>
          <w:szCs w:val="32"/>
        </w:rPr>
        <w:t>附件一</w:t>
      </w:r>
    </w:p>
    <w:p>
      <w:pPr>
        <w:spacing w:line="560" w:lineRule="exact"/>
        <w:jc w:val="center"/>
        <w:rPr>
          <w:rFonts w:ascii="宋体" w:hAnsi="宋体"/>
          <w:b/>
          <w:bCs/>
          <w:sz w:val="44"/>
          <w:szCs w:val="44"/>
        </w:rPr>
      </w:pPr>
      <w:r>
        <w:rPr>
          <w:rFonts w:hint="eastAsia" w:ascii="宋体" w:hAnsi="宋体"/>
          <w:b/>
          <w:bCs/>
          <w:sz w:val="44"/>
          <w:szCs w:val="44"/>
        </w:rPr>
        <w:t>泰州市涉案企业合规</w:t>
      </w:r>
    </w:p>
    <w:p>
      <w:pPr>
        <w:spacing w:line="560" w:lineRule="exact"/>
        <w:jc w:val="center"/>
        <w:rPr>
          <w:rFonts w:ascii="宋体" w:hAnsi="宋体"/>
          <w:b/>
          <w:bCs/>
          <w:sz w:val="44"/>
          <w:szCs w:val="44"/>
        </w:rPr>
      </w:pPr>
      <w:r>
        <w:rPr>
          <w:rFonts w:hint="eastAsia" w:ascii="宋体" w:hAnsi="宋体"/>
          <w:b/>
          <w:bCs/>
          <w:sz w:val="44"/>
          <w:szCs w:val="44"/>
        </w:rPr>
        <w:t>第三方监督评估机制专业人员报名表</w:t>
      </w:r>
    </w:p>
    <w:p>
      <w:pPr>
        <w:keepNext/>
        <w:rPr>
          <w:rFonts w:ascii="仿宋_GB2312"/>
          <w:sz w:val="24"/>
        </w:rPr>
      </w:pPr>
    </w:p>
    <w:tbl>
      <w:tblPr>
        <w:tblStyle w:val="4"/>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06"/>
        <w:gridCol w:w="1479"/>
        <w:gridCol w:w="1065"/>
        <w:gridCol w:w="1142"/>
        <w:gridCol w:w="73"/>
        <w:gridCol w:w="117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00" w:type="dxa"/>
            <w:vAlign w:val="center"/>
          </w:tcPr>
          <w:p>
            <w:pPr>
              <w:jc w:val="center"/>
              <w:rPr>
                <w:rFonts w:ascii="仿宋_GB2312" w:eastAsia="仿宋_GB2312"/>
                <w:sz w:val="24"/>
              </w:rPr>
            </w:pPr>
            <w:r>
              <w:rPr>
                <w:rFonts w:hint="eastAsia" w:ascii="仿宋_GB2312" w:eastAsia="仿宋_GB2312"/>
                <w:sz w:val="24"/>
              </w:rPr>
              <w:t>姓名</w:t>
            </w:r>
          </w:p>
        </w:tc>
        <w:tc>
          <w:tcPr>
            <w:tcW w:w="1206" w:type="dxa"/>
            <w:vAlign w:val="center"/>
          </w:tcPr>
          <w:p>
            <w:pPr>
              <w:jc w:val="center"/>
              <w:rPr>
                <w:rFonts w:ascii="仿宋_GB2312" w:eastAsia="仿宋_GB2312"/>
                <w:sz w:val="24"/>
              </w:rPr>
            </w:pPr>
          </w:p>
        </w:tc>
        <w:tc>
          <w:tcPr>
            <w:tcW w:w="1479" w:type="dxa"/>
            <w:vAlign w:val="center"/>
          </w:tcPr>
          <w:p>
            <w:pPr>
              <w:jc w:val="center"/>
              <w:rPr>
                <w:rFonts w:ascii="仿宋_GB2312" w:eastAsia="仿宋_GB2312"/>
                <w:sz w:val="24"/>
              </w:rPr>
            </w:pPr>
            <w:r>
              <w:rPr>
                <w:rFonts w:hint="eastAsia" w:ascii="仿宋_GB2312" w:eastAsia="仿宋_GB2312"/>
                <w:sz w:val="24"/>
              </w:rPr>
              <w:t>性别</w:t>
            </w:r>
          </w:p>
        </w:tc>
        <w:tc>
          <w:tcPr>
            <w:tcW w:w="1065" w:type="dxa"/>
            <w:vAlign w:val="center"/>
          </w:tcPr>
          <w:p>
            <w:pPr>
              <w:jc w:val="center"/>
              <w:rPr>
                <w:rFonts w:ascii="仿宋_GB2312" w:eastAsia="仿宋_GB2312"/>
                <w:sz w:val="24"/>
              </w:rPr>
            </w:pPr>
          </w:p>
        </w:tc>
        <w:tc>
          <w:tcPr>
            <w:tcW w:w="1215" w:type="dxa"/>
            <w:gridSpan w:val="2"/>
            <w:vAlign w:val="center"/>
          </w:tcPr>
          <w:p>
            <w:pPr>
              <w:jc w:val="center"/>
              <w:rPr>
                <w:rFonts w:ascii="仿宋_GB2312" w:eastAsia="仿宋_GB2312"/>
                <w:sz w:val="24"/>
              </w:rPr>
            </w:pPr>
            <w:r>
              <w:rPr>
                <w:rFonts w:hint="eastAsia" w:ascii="仿宋_GB2312" w:eastAsia="仿宋_GB2312"/>
                <w:sz w:val="24"/>
              </w:rPr>
              <w:t>民族</w:t>
            </w:r>
          </w:p>
        </w:tc>
        <w:tc>
          <w:tcPr>
            <w:tcW w:w="1170" w:type="dxa"/>
            <w:vAlign w:val="center"/>
          </w:tcPr>
          <w:p>
            <w:pPr>
              <w:jc w:val="center"/>
              <w:rPr>
                <w:rFonts w:ascii="仿宋_GB2312" w:eastAsia="仿宋_GB2312"/>
                <w:sz w:val="24"/>
              </w:rPr>
            </w:pPr>
          </w:p>
        </w:tc>
        <w:tc>
          <w:tcPr>
            <w:tcW w:w="1515" w:type="dxa"/>
            <w:vMerge w:val="restart"/>
            <w:vAlign w:val="center"/>
          </w:tcPr>
          <w:p>
            <w:pPr>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00" w:type="dxa"/>
            <w:vAlign w:val="center"/>
          </w:tcPr>
          <w:p>
            <w:pPr>
              <w:jc w:val="center"/>
              <w:rPr>
                <w:rFonts w:ascii="仿宋_GB2312" w:eastAsia="仿宋_GB2312"/>
                <w:sz w:val="24"/>
              </w:rPr>
            </w:pPr>
            <w:r>
              <w:rPr>
                <w:rFonts w:hint="eastAsia" w:ascii="仿宋_GB2312" w:eastAsia="仿宋_GB2312"/>
                <w:sz w:val="24"/>
              </w:rPr>
              <w:t>出生年月</w:t>
            </w:r>
          </w:p>
        </w:tc>
        <w:tc>
          <w:tcPr>
            <w:tcW w:w="1206" w:type="dxa"/>
            <w:vAlign w:val="center"/>
          </w:tcPr>
          <w:p>
            <w:pPr>
              <w:jc w:val="center"/>
              <w:rPr>
                <w:rFonts w:ascii="仿宋_GB2312" w:eastAsia="仿宋_GB2312"/>
                <w:sz w:val="24"/>
              </w:rPr>
            </w:pPr>
          </w:p>
        </w:tc>
        <w:tc>
          <w:tcPr>
            <w:tcW w:w="1479" w:type="dxa"/>
            <w:vAlign w:val="center"/>
          </w:tcPr>
          <w:p>
            <w:pPr>
              <w:jc w:val="center"/>
              <w:rPr>
                <w:rFonts w:ascii="仿宋_GB2312" w:eastAsia="仿宋_GB2312"/>
                <w:sz w:val="24"/>
              </w:rPr>
            </w:pPr>
            <w:r>
              <w:rPr>
                <w:rFonts w:hint="eastAsia" w:ascii="仿宋_GB2312" w:eastAsia="仿宋_GB2312"/>
                <w:sz w:val="24"/>
              </w:rPr>
              <w:t>政治</w:t>
            </w:r>
          </w:p>
          <w:p>
            <w:pPr>
              <w:jc w:val="center"/>
              <w:rPr>
                <w:rFonts w:ascii="仿宋_GB2312" w:eastAsia="仿宋_GB2312"/>
                <w:sz w:val="24"/>
              </w:rPr>
            </w:pPr>
            <w:r>
              <w:rPr>
                <w:rFonts w:hint="eastAsia" w:ascii="仿宋_GB2312" w:eastAsia="仿宋_GB2312"/>
                <w:sz w:val="24"/>
              </w:rPr>
              <w:t>面貌</w:t>
            </w:r>
          </w:p>
        </w:tc>
        <w:tc>
          <w:tcPr>
            <w:tcW w:w="1065" w:type="dxa"/>
            <w:vAlign w:val="center"/>
          </w:tcPr>
          <w:p>
            <w:pPr>
              <w:jc w:val="center"/>
              <w:rPr>
                <w:rFonts w:ascii="仿宋_GB2312" w:eastAsia="仿宋_GB2312"/>
                <w:sz w:val="24"/>
              </w:rPr>
            </w:pPr>
          </w:p>
        </w:tc>
        <w:tc>
          <w:tcPr>
            <w:tcW w:w="1215" w:type="dxa"/>
            <w:gridSpan w:val="2"/>
            <w:vAlign w:val="center"/>
          </w:tcPr>
          <w:p>
            <w:pPr>
              <w:jc w:val="center"/>
              <w:rPr>
                <w:rFonts w:ascii="仿宋_GB2312" w:eastAsia="仿宋_GB2312"/>
                <w:sz w:val="24"/>
              </w:rPr>
            </w:pPr>
            <w:r>
              <w:rPr>
                <w:rFonts w:hint="eastAsia" w:ascii="仿宋_GB2312" w:eastAsia="仿宋_GB2312"/>
                <w:sz w:val="24"/>
              </w:rPr>
              <w:t>健康</w:t>
            </w:r>
          </w:p>
          <w:p>
            <w:pPr>
              <w:jc w:val="center"/>
              <w:rPr>
                <w:rFonts w:ascii="仿宋_GB2312" w:eastAsia="仿宋_GB2312"/>
                <w:sz w:val="24"/>
              </w:rPr>
            </w:pPr>
            <w:r>
              <w:rPr>
                <w:rFonts w:hint="eastAsia" w:ascii="仿宋_GB2312" w:eastAsia="仿宋_GB2312"/>
                <w:sz w:val="24"/>
              </w:rPr>
              <w:t>状况</w:t>
            </w:r>
          </w:p>
        </w:tc>
        <w:tc>
          <w:tcPr>
            <w:tcW w:w="1170" w:type="dxa"/>
            <w:vAlign w:val="center"/>
          </w:tcPr>
          <w:p>
            <w:pPr>
              <w:jc w:val="center"/>
              <w:rPr>
                <w:rFonts w:ascii="仿宋_GB2312" w:eastAsia="仿宋_GB2312"/>
                <w:sz w:val="24"/>
              </w:rPr>
            </w:pPr>
          </w:p>
        </w:tc>
        <w:tc>
          <w:tcPr>
            <w:tcW w:w="1515"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00" w:type="dxa"/>
            <w:vAlign w:val="center"/>
          </w:tcPr>
          <w:p>
            <w:pPr>
              <w:jc w:val="center"/>
              <w:rPr>
                <w:rFonts w:ascii="仿宋_GB2312" w:eastAsia="仿宋_GB2312"/>
                <w:sz w:val="24"/>
              </w:rPr>
            </w:pPr>
            <w:r>
              <w:rPr>
                <w:rFonts w:hint="eastAsia" w:ascii="仿宋_GB2312" w:eastAsia="仿宋_GB2312"/>
                <w:sz w:val="24"/>
              </w:rPr>
              <w:t>学历</w:t>
            </w:r>
          </w:p>
        </w:tc>
        <w:tc>
          <w:tcPr>
            <w:tcW w:w="2685" w:type="dxa"/>
            <w:gridSpan w:val="2"/>
            <w:vAlign w:val="center"/>
          </w:tcPr>
          <w:p>
            <w:pPr>
              <w:jc w:val="center"/>
              <w:rPr>
                <w:rFonts w:ascii="仿宋_GB2312" w:eastAsia="仿宋_GB2312"/>
                <w:sz w:val="24"/>
              </w:rPr>
            </w:pPr>
          </w:p>
        </w:tc>
        <w:tc>
          <w:tcPr>
            <w:tcW w:w="1065" w:type="dxa"/>
            <w:vAlign w:val="center"/>
          </w:tcPr>
          <w:p>
            <w:pPr>
              <w:jc w:val="center"/>
              <w:rPr>
                <w:rFonts w:ascii="仿宋_GB2312" w:eastAsia="仿宋_GB2312"/>
                <w:sz w:val="24"/>
              </w:rPr>
            </w:pPr>
            <w:r>
              <w:rPr>
                <w:rFonts w:hint="eastAsia" w:ascii="仿宋_GB2312" w:eastAsia="仿宋_GB2312"/>
                <w:sz w:val="24"/>
              </w:rPr>
              <w:t>学位</w:t>
            </w:r>
          </w:p>
        </w:tc>
        <w:tc>
          <w:tcPr>
            <w:tcW w:w="2385" w:type="dxa"/>
            <w:gridSpan w:val="3"/>
            <w:vAlign w:val="center"/>
          </w:tcPr>
          <w:p>
            <w:pPr>
              <w:jc w:val="center"/>
              <w:rPr>
                <w:rFonts w:ascii="仿宋_GB2312" w:eastAsia="仿宋_GB2312"/>
                <w:sz w:val="24"/>
              </w:rPr>
            </w:pPr>
          </w:p>
        </w:tc>
        <w:tc>
          <w:tcPr>
            <w:tcW w:w="1515"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00" w:type="dxa"/>
            <w:vAlign w:val="center"/>
          </w:tcPr>
          <w:p>
            <w:pPr>
              <w:jc w:val="center"/>
              <w:rPr>
                <w:rFonts w:ascii="仿宋_GB2312" w:eastAsia="仿宋_GB2312"/>
                <w:sz w:val="24"/>
              </w:rPr>
            </w:pPr>
            <w:r>
              <w:rPr>
                <w:rFonts w:hint="eastAsia" w:ascii="仿宋_GB2312" w:eastAsia="仿宋_GB2312"/>
                <w:sz w:val="24"/>
              </w:rPr>
              <w:t>身份证号</w:t>
            </w:r>
          </w:p>
        </w:tc>
        <w:tc>
          <w:tcPr>
            <w:tcW w:w="2685" w:type="dxa"/>
            <w:gridSpan w:val="2"/>
            <w:vAlign w:val="center"/>
          </w:tcPr>
          <w:p>
            <w:pPr>
              <w:jc w:val="left"/>
              <w:rPr>
                <w:rFonts w:ascii="仿宋_GB2312" w:eastAsia="仿宋_GB2312"/>
                <w:sz w:val="24"/>
              </w:rPr>
            </w:pPr>
          </w:p>
        </w:tc>
        <w:tc>
          <w:tcPr>
            <w:tcW w:w="1065" w:type="dxa"/>
            <w:vAlign w:val="center"/>
          </w:tcPr>
          <w:p>
            <w:pPr>
              <w:jc w:val="center"/>
              <w:rPr>
                <w:rFonts w:ascii="仿宋_GB2312" w:eastAsia="仿宋_GB2312"/>
                <w:sz w:val="24"/>
              </w:rPr>
            </w:pPr>
            <w:r>
              <w:rPr>
                <w:rFonts w:hint="eastAsia" w:ascii="仿宋_GB2312" w:eastAsia="仿宋_GB2312"/>
                <w:sz w:val="24"/>
              </w:rPr>
              <w:t>联系</w:t>
            </w:r>
          </w:p>
          <w:p>
            <w:pPr>
              <w:jc w:val="center"/>
              <w:rPr>
                <w:rFonts w:ascii="仿宋_GB2312" w:eastAsia="仿宋_GB2312"/>
                <w:sz w:val="24"/>
              </w:rPr>
            </w:pPr>
            <w:r>
              <w:rPr>
                <w:rFonts w:hint="eastAsia" w:ascii="仿宋_GB2312" w:eastAsia="仿宋_GB2312"/>
                <w:sz w:val="24"/>
              </w:rPr>
              <w:t>电话</w:t>
            </w:r>
          </w:p>
        </w:tc>
        <w:tc>
          <w:tcPr>
            <w:tcW w:w="3900" w:type="dxa"/>
            <w:gridSpan w:val="4"/>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00" w:type="dxa"/>
            <w:vAlign w:val="center"/>
          </w:tcPr>
          <w:p>
            <w:pPr>
              <w:jc w:val="center"/>
              <w:rPr>
                <w:rFonts w:ascii="仿宋_GB2312" w:eastAsia="仿宋_GB2312"/>
                <w:sz w:val="24"/>
              </w:rPr>
            </w:pPr>
            <w:r>
              <w:rPr>
                <w:rFonts w:hint="eastAsia" w:ascii="仿宋_GB2312" w:eastAsia="仿宋_GB2312"/>
                <w:sz w:val="24"/>
              </w:rPr>
              <w:t>所在单位</w:t>
            </w:r>
          </w:p>
        </w:tc>
        <w:tc>
          <w:tcPr>
            <w:tcW w:w="2685" w:type="dxa"/>
            <w:gridSpan w:val="2"/>
            <w:vAlign w:val="center"/>
          </w:tcPr>
          <w:p>
            <w:pPr>
              <w:jc w:val="center"/>
              <w:rPr>
                <w:rFonts w:ascii="仿宋_GB2312" w:eastAsia="仿宋_GB2312"/>
                <w:sz w:val="24"/>
              </w:rPr>
            </w:pPr>
          </w:p>
        </w:tc>
        <w:tc>
          <w:tcPr>
            <w:tcW w:w="1065" w:type="dxa"/>
            <w:vAlign w:val="center"/>
          </w:tcPr>
          <w:p>
            <w:pPr>
              <w:jc w:val="center"/>
              <w:rPr>
                <w:rFonts w:ascii="仿宋_GB2312" w:eastAsia="仿宋_GB2312"/>
                <w:sz w:val="24"/>
              </w:rPr>
            </w:pPr>
            <w:r>
              <w:rPr>
                <w:rFonts w:hint="eastAsia" w:ascii="仿宋_GB2312" w:eastAsia="仿宋_GB2312"/>
                <w:sz w:val="24"/>
              </w:rPr>
              <w:t>职务</w:t>
            </w:r>
          </w:p>
        </w:tc>
        <w:tc>
          <w:tcPr>
            <w:tcW w:w="3900" w:type="dxa"/>
            <w:gridSpan w:val="4"/>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00" w:type="dxa"/>
            <w:vAlign w:val="center"/>
          </w:tcPr>
          <w:p>
            <w:pPr>
              <w:jc w:val="center"/>
              <w:rPr>
                <w:rFonts w:ascii="仿宋_GB2312" w:eastAsia="仿宋_GB2312"/>
                <w:sz w:val="24"/>
              </w:rPr>
            </w:pPr>
            <w:r>
              <w:rPr>
                <w:rFonts w:hint="eastAsia" w:ascii="仿宋_GB2312" w:eastAsia="仿宋_GB2312"/>
                <w:sz w:val="24"/>
              </w:rPr>
              <w:t>职称</w:t>
            </w:r>
          </w:p>
        </w:tc>
        <w:tc>
          <w:tcPr>
            <w:tcW w:w="2685" w:type="dxa"/>
            <w:gridSpan w:val="2"/>
            <w:vAlign w:val="center"/>
          </w:tcPr>
          <w:p>
            <w:pPr>
              <w:jc w:val="center"/>
              <w:rPr>
                <w:rFonts w:ascii="仿宋_GB2312" w:eastAsia="仿宋_GB2312"/>
                <w:sz w:val="24"/>
              </w:rPr>
            </w:pPr>
          </w:p>
        </w:tc>
        <w:tc>
          <w:tcPr>
            <w:tcW w:w="1065" w:type="dxa"/>
            <w:vAlign w:val="center"/>
          </w:tcPr>
          <w:p>
            <w:pPr>
              <w:jc w:val="center"/>
              <w:rPr>
                <w:rFonts w:ascii="仿宋_GB2312" w:eastAsia="仿宋_GB2312"/>
                <w:sz w:val="24"/>
              </w:rPr>
            </w:pPr>
            <w:r>
              <w:rPr>
                <w:rFonts w:hint="eastAsia" w:ascii="仿宋_GB2312" w:eastAsia="仿宋_GB2312"/>
                <w:sz w:val="24"/>
              </w:rPr>
              <w:t>评定</w:t>
            </w:r>
          </w:p>
          <w:p>
            <w:pPr>
              <w:jc w:val="center"/>
              <w:rPr>
                <w:rFonts w:ascii="仿宋_GB2312" w:eastAsia="仿宋_GB2312"/>
                <w:sz w:val="24"/>
              </w:rPr>
            </w:pPr>
            <w:r>
              <w:rPr>
                <w:rFonts w:hint="eastAsia" w:ascii="仿宋_GB2312" w:eastAsia="仿宋_GB2312"/>
                <w:sz w:val="24"/>
              </w:rPr>
              <w:t>单位</w:t>
            </w:r>
          </w:p>
        </w:tc>
        <w:tc>
          <w:tcPr>
            <w:tcW w:w="1142" w:type="dxa"/>
            <w:vAlign w:val="center"/>
          </w:tcPr>
          <w:p>
            <w:pPr>
              <w:jc w:val="center"/>
              <w:rPr>
                <w:rFonts w:ascii="仿宋_GB2312" w:eastAsia="仿宋_GB2312"/>
                <w:sz w:val="24"/>
              </w:rPr>
            </w:pPr>
          </w:p>
        </w:tc>
        <w:tc>
          <w:tcPr>
            <w:tcW w:w="1243" w:type="dxa"/>
            <w:gridSpan w:val="2"/>
            <w:vAlign w:val="center"/>
          </w:tcPr>
          <w:p>
            <w:pPr>
              <w:jc w:val="center"/>
              <w:rPr>
                <w:rFonts w:ascii="仿宋_GB2312" w:eastAsia="仿宋_GB2312"/>
                <w:sz w:val="24"/>
              </w:rPr>
            </w:pPr>
            <w:r>
              <w:rPr>
                <w:rFonts w:hint="eastAsia" w:ascii="仿宋_GB2312" w:eastAsia="仿宋_GB2312"/>
                <w:sz w:val="24"/>
              </w:rPr>
              <w:t>评定</w:t>
            </w:r>
          </w:p>
          <w:p>
            <w:pPr>
              <w:jc w:val="center"/>
              <w:rPr>
                <w:rFonts w:ascii="仿宋_GB2312" w:eastAsia="仿宋_GB2312"/>
                <w:sz w:val="24"/>
              </w:rPr>
            </w:pPr>
            <w:r>
              <w:rPr>
                <w:rFonts w:hint="eastAsia" w:ascii="仿宋_GB2312" w:eastAsia="仿宋_GB2312"/>
                <w:sz w:val="24"/>
              </w:rPr>
              <w:t>时间</w:t>
            </w:r>
          </w:p>
        </w:tc>
        <w:tc>
          <w:tcPr>
            <w:tcW w:w="1515"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200" w:type="dxa"/>
            <w:vAlign w:val="center"/>
          </w:tcPr>
          <w:p>
            <w:pPr>
              <w:jc w:val="center"/>
              <w:rPr>
                <w:rFonts w:ascii="仿宋_GB2312" w:eastAsia="仿宋_GB2312"/>
                <w:sz w:val="24"/>
              </w:rPr>
            </w:pPr>
            <w:r>
              <w:rPr>
                <w:rFonts w:hint="eastAsia" w:ascii="仿宋_GB2312" w:eastAsia="仿宋_GB2312"/>
                <w:sz w:val="24"/>
              </w:rPr>
              <w:t>专业类别</w:t>
            </w:r>
          </w:p>
        </w:tc>
        <w:tc>
          <w:tcPr>
            <w:tcW w:w="7650" w:type="dxa"/>
            <w:gridSpan w:val="7"/>
            <w:vAlign w:val="center"/>
          </w:tcPr>
          <w:p>
            <w:pPr>
              <w:spacing w:line="480" w:lineRule="auto"/>
              <w:rPr>
                <w:rFonts w:hint="eastAsia" w:ascii="仿宋_GB2312" w:hAnsi="Times New Roman" w:eastAsia="仿宋_GB2312"/>
                <w:sz w:val="24"/>
              </w:rPr>
            </w:pPr>
            <w:r>
              <w:rPr>
                <w:rFonts w:hint="eastAsia" w:ascii="仿宋_GB2312" w:hAnsi="Times New Roman" w:eastAsia="仿宋_GB2312"/>
                <w:sz w:val="24"/>
              </w:rPr>
              <w:t>□律师类  □ 注册会计师、税务师类 □专家学者类  □政府部门专业</w:t>
            </w:r>
          </w:p>
          <w:p>
            <w:pPr>
              <w:spacing w:line="480" w:lineRule="auto"/>
              <w:rPr>
                <w:rFonts w:ascii="仿宋_GB2312" w:hAnsi="Times New Roman" w:eastAsia="仿宋_GB2312"/>
                <w:sz w:val="24"/>
              </w:rPr>
            </w:pPr>
            <w:r>
              <w:rPr>
                <w:rFonts w:hint="eastAsia" w:ascii="仿宋_GB2312" w:hAnsi="Times New Roman" w:eastAsia="仿宋_GB2312"/>
                <w:sz w:val="24"/>
              </w:rPr>
              <w:t>人员类  □有关企业、组织专业技术人员类   □其他</w:t>
            </w:r>
            <w:r>
              <w:rPr>
                <w:rFonts w:hint="eastAsia" w:ascii="仿宋_GB2312"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1200" w:type="dxa"/>
            <w:vAlign w:val="center"/>
          </w:tcPr>
          <w:p>
            <w:pPr>
              <w:jc w:val="center"/>
              <w:rPr>
                <w:rFonts w:ascii="仿宋_GB2312" w:eastAsia="仿宋_GB2312"/>
                <w:sz w:val="24"/>
              </w:rPr>
            </w:pPr>
            <w:r>
              <w:rPr>
                <w:rFonts w:hint="eastAsia" w:ascii="仿宋_GB2312" w:eastAsia="仿宋_GB2312"/>
                <w:sz w:val="24"/>
              </w:rPr>
              <w:t>个人简历（从本科起）</w:t>
            </w:r>
          </w:p>
        </w:tc>
        <w:tc>
          <w:tcPr>
            <w:tcW w:w="7650"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1200" w:type="dxa"/>
            <w:vAlign w:val="center"/>
          </w:tcPr>
          <w:p>
            <w:pPr>
              <w:jc w:val="center"/>
              <w:rPr>
                <w:rFonts w:ascii="仿宋_GB2312" w:eastAsia="仿宋_GB2312"/>
                <w:sz w:val="24"/>
              </w:rPr>
            </w:pPr>
            <w:r>
              <w:rPr>
                <w:rFonts w:hint="eastAsia" w:ascii="仿宋_GB2312" w:eastAsia="仿宋_GB2312"/>
                <w:sz w:val="24"/>
              </w:rPr>
              <w:t xml:space="preserve">专业经历 </w:t>
            </w:r>
          </w:p>
        </w:tc>
        <w:tc>
          <w:tcPr>
            <w:tcW w:w="7650"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1200" w:type="dxa"/>
            <w:vAlign w:val="center"/>
          </w:tcPr>
          <w:p>
            <w:pPr>
              <w:jc w:val="center"/>
              <w:rPr>
                <w:rFonts w:ascii="仿宋_GB2312" w:eastAsia="仿宋_GB2312"/>
                <w:sz w:val="24"/>
              </w:rPr>
            </w:pPr>
            <w:r>
              <w:rPr>
                <w:rFonts w:hint="eastAsia" w:ascii="仿宋_GB2312" w:eastAsia="仿宋_GB2312"/>
                <w:sz w:val="24"/>
              </w:rPr>
              <w:t>主要成果</w:t>
            </w:r>
          </w:p>
        </w:tc>
        <w:tc>
          <w:tcPr>
            <w:tcW w:w="7650"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00" w:type="dxa"/>
            <w:vAlign w:val="center"/>
          </w:tcPr>
          <w:p>
            <w:pPr>
              <w:jc w:val="center"/>
              <w:rPr>
                <w:rFonts w:ascii="仿宋_GB2312" w:eastAsia="仿宋_GB2312"/>
                <w:sz w:val="24"/>
              </w:rPr>
            </w:pPr>
            <w:r>
              <w:rPr>
                <w:rFonts w:hint="eastAsia" w:ascii="仿宋_GB2312" w:hAnsi="仿宋_GB2312" w:eastAsia="仿宋_GB2312" w:cs="仿宋_GB2312"/>
                <w:sz w:val="24"/>
                <w:szCs w:val="32"/>
              </w:rPr>
              <w:t>近三年获表彰奖励情况</w:t>
            </w:r>
          </w:p>
        </w:tc>
        <w:tc>
          <w:tcPr>
            <w:tcW w:w="7650"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00" w:type="dxa"/>
            <w:vAlign w:val="center"/>
          </w:tcPr>
          <w:p>
            <w:pPr>
              <w:jc w:val="center"/>
              <w:rPr>
                <w:rFonts w:ascii="仿宋_GB2312" w:eastAsia="仿宋_GB2312"/>
                <w:sz w:val="24"/>
              </w:rPr>
            </w:pPr>
            <w:r>
              <w:rPr>
                <w:rFonts w:hint="eastAsia" w:ascii="仿宋_GB2312" w:hAnsi="仿宋_GB2312" w:eastAsia="仿宋_GB2312" w:cs="仿宋_GB2312"/>
                <w:sz w:val="24"/>
                <w:szCs w:val="32"/>
              </w:rPr>
              <w:t>近三年内是否有不宜履职情形</w:t>
            </w:r>
          </w:p>
        </w:tc>
        <w:tc>
          <w:tcPr>
            <w:tcW w:w="7650"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200" w:type="dxa"/>
            <w:vAlign w:val="center"/>
          </w:tcPr>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所在单位资质条件、行业影响力等情况</w:t>
            </w:r>
          </w:p>
        </w:tc>
        <w:tc>
          <w:tcPr>
            <w:tcW w:w="7650"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1200" w:type="dxa"/>
            <w:vAlign w:val="center"/>
          </w:tcPr>
          <w:p>
            <w:pPr>
              <w:jc w:val="center"/>
              <w:rPr>
                <w:rFonts w:ascii="仿宋_GB2312" w:eastAsia="仿宋_GB2312"/>
                <w:sz w:val="24"/>
              </w:rPr>
            </w:pPr>
            <w:r>
              <w:rPr>
                <w:rFonts w:hint="eastAsia" w:ascii="仿宋_GB2312" w:eastAsia="仿宋_GB2312"/>
                <w:sz w:val="24"/>
              </w:rPr>
              <w:t>本人意见</w:t>
            </w:r>
          </w:p>
        </w:tc>
        <w:tc>
          <w:tcPr>
            <w:tcW w:w="7650" w:type="dxa"/>
            <w:gridSpan w:val="7"/>
          </w:tcPr>
          <w:p>
            <w:pPr>
              <w:spacing w:line="42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 xml:space="preserve">   本人承诺以上填报内容属实，知悉有关利益冲突等规定要求，自愿入库参与第三方监督评估工作，认真履职、勤勉尽责，严格遵守有关任职保密、回避、廉洁等规定。                                 </w:t>
            </w:r>
          </w:p>
          <w:p>
            <w:pPr>
              <w:spacing w:line="420" w:lineRule="exact"/>
              <w:ind w:firstLine="4560" w:firstLineChars="1900"/>
              <w:rPr>
                <w:rFonts w:ascii="仿宋_GB2312" w:hAnsi="仿宋_GB2312" w:eastAsia="仿宋_GB2312" w:cs="仿宋_GB2312"/>
                <w:sz w:val="24"/>
                <w:szCs w:val="32"/>
              </w:rPr>
            </w:pPr>
            <w:r>
              <w:rPr>
                <w:rFonts w:hint="eastAsia" w:ascii="仿宋_GB2312" w:hAnsi="仿宋_GB2312" w:eastAsia="仿宋_GB2312" w:cs="仿宋_GB2312"/>
                <w:sz w:val="24"/>
                <w:szCs w:val="32"/>
              </w:rPr>
              <w:t>签名：</w:t>
            </w:r>
          </w:p>
          <w:p>
            <w:pPr>
              <w:spacing w:line="420" w:lineRule="exact"/>
              <w:ind w:firstLine="5280" w:firstLineChars="2200"/>
              <w:rPr>
                <w:rFonts w:ascii="仿宋_GB2312" w:hAnsi="仿宋_GB2312" w:eastAsia="仿宋_GB2312" w:cs="仿宋_GB2312"/>
                <w:sz w:val="24"/>
                <w:szCs w:val="32"/>
              </w:rPr>
            </w:pPr>
            <w:r>
              <w:rPr>
                <w:rFonts w:hint="eastAsia" w:ascii="仿宋_GB2312" w:hAnsi="仿宋_GB2312" w:eastAsia="仿宋_GB2312" w:cs="仿宋_GB2312"/>
                <w:sz w:val="24"/>
                <w:szCs w:val="32"/>
              </w:rPr>
              <w:t>年    月   日</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200" w:type="dxa"/>
            <w:vAlign w:val="center"/>
          </w:tcPr>
          <w:p>
            <w:pPr>
              <w:jc w:val="center"/>
              <w:rPr>
                <w:rFonts w:ascii="仿宋_GB2312" w:eastAsia="仿宋_GB2312"/>
                <w:sz w:val="24"/>
              </w:rPr>
            </w:pPr>
            <w:r>
              <w:rPr>
                <w:rFonts w:hint="eastAsia" w:ascii="仿宋_GB2312" w:eastAsia="仿宋_GB2312"/>
                <w:sz w:val="24"/>
              </w:rPr>
              <w:t>所在单位、组织的审核意见</w:t>
            </w:r>
          </w:p>
        </w:tc>
        <w:tc>
          <w:tcPr>
            <w:tcW w:w="7650" w:type="dxa"/>
            <w:gridSpan w:val="7"/>
            <w:vAlign w:val="center"/>
          </w:tcPr>
          <w:p>
            <w:pPr>
              <w:jc w:val="center"/>
              <w:rPr>
                <w:rFonts w:ascii="仿宋_GB2312" w:eastAsia="仿宋_GB2312"/>
                <w:sz w:val="24"/>
              </w:rPr>
            </w:pPr>
          </w:p>
          <w:p>
            <w:pPr>
              <w:jc w:val="center"/>
              <w:rPr>
                <w:rFonts w:ascii="仿宋_GB2312" w:hAnsi="仿宋_GB2312" w:eastAsia="仿宋_GB2312" w:cs="仿宋_GB2312"/>
                <w:sz w:val="24"/>
                <w:szCs w:val="32"/>
              </w:rPr>
            </w:pPr>
            <w:r>
              <w:rPr>
                <w:rFonts w:hint="eastAsia" w:ascii="仿宋_GB2312" w:hAnsi="仿宋_GB2312" w:eastAsia="仿宋_GB2312" w:cs="仿宋_GB2312"/>
                <w:sz w:val="24"/>
                <w:szCs w:val="32"/>
              </w:rPr>
              <w:t xml:space="preserve">    </w:t>
            </w:r>
          </w:p>
          <w:p>
            <w:pPr>
              <w:jc w:val="center"/>
              <w:rPr>
                <w:rFonts w:ascii="仿宋_GB2312" w:eastAsia="仿宋_GB2312"/>
                <w:sz w:val="24"/>
              </w:rPr>
            </w:pPr>
            <w:r>
              <w:rPr>
                <w:rFonts w:hint="eastAsia" w:ascii="仿宋_GB2312" w:hAnsi="仿宋_GB2312" w:eastAsia="仿宋_GB2312" w:cs="仿宋_GB2312"/>
                <w:sz w:val="24"/>
                <w:szCs w:val="32"/>
              </w:rPr>
              <w:t xml:space="preserve">                                          </w:t>
            </w:r>
          </w:p>
          <w:p>
            <w:pPr>
              <w:jc w:val="center"/>
              <w:rPr>
                <w:rFonts w:ascii="仿宋_GB2312" w:eastAsia="仿宋_GB2312"/>
                <w:sz w:val="24"/>
              </w:rPr>
            </w:pPr>
            <w:r>
              <w:rPr>
                <w:rFonts w:hint="eastAsia" w:ascii="仿宋_GB2312" w:eastAsia="仿宋_GB2312"/>
                <w:sz w:val="24"/>
              </w:rPr>
              <w:t xml:space="preserve">                                         （盖章）  </w:t>
            </w:r>
          </w:p>
          <w:p>
            <w:pPr>
              <w:jc w:val="center"/>
              <w:rPr>
                <w:rFonts w:ascii="仿宋_GB2312" w:eastAsia="仿宋_GB2312"/>
                <w:sz w:val="24"/>
              </w:rPr>
            </w:pPr>
            <w:r>
              <w:rPr>
                <w:rFonts w:hint="eastAsia" w:ascii="仿宋_GB2312" w:hAnsi="仿宋_GB2312" w:eastAsia="仿宋_GB2312" w:cs="仿宋_GB2312"/>
                <w:sz w:val="24"/>
                <w:szCs w:val="32"/>
              </w:rPr>
              <w:t xml:space="preserve">                                             年    月   日</w:t>
            </w:r>
          </w:p>
          <w:p>
            <w:pPr>
              <w:jc w:val="center"/>
              <w:rPr>
                <w:rFonts w:ascii="仿宋_GB2312" w:eastAsia="仿宋_GB2312"/>
                <w:sz w:val="24"/>
              </w:rPr>
            </w:pPr>
          </w:p>
          <w:p>
            <w:pPr>
              <w:jc w:val="center"/>
              <w:rPr>
                <w:rFonts w:ascii="仿宋_GB2312" w:eastAsia="仿宋_GB2312"/>
                <w:sz w:val="24"/>
              </w:rPr>
            </w:pPr>
          </w:p>
        </w:tc>
      </w:tr>
    </w:tbl>
    <w:p>
      <w:pPr>
        <w:tabs>
          <w:tab w:val="left" w:pos="2670"/>
        </w:tabs>
        <w:jc w:val="left"/>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ascii="黑体" w:hAnsi="黑体" w:eastAsia="黑体" w:cs="黑体"/>
          <w:sz w:val="32"/>
          <w:szCs w:val="32"/>
        </w:rPr>
      </w:pPr>
      <w:r>
        <w:rPr>
          <w:rFonts w:hint="eastAsia" w:ascii="黑体" w:hAnsi="黑体" w:eastAsia="黑体" w:cs="黑体"/>
          <w:sz w:val="32"/>
          <w:szCs w:val="32"/>
        </w:rPr>
        <w:t>附件二：</w:t>
      </w:r>
    </w:p>
    <w:p>
      <w:pPr>
        <w:spacing w:line="560" w:lineRule="exact"/>
        <w:jc w:val="center"/>
        <w:rPr>
          <w:rFonts w:ascii="宋体" w:hAnsi="宋体"/>
          <w:b/>
          <w:bCs/>
          <w:sz w:val="44"/>
          <w:szCs w:val="44"/>
        </w:rPr>
      </w:pPr>
    </w:p>
    <w:p>
      <w:pPr>
        <w:spacing w:line="560" w:lineRule="exact"/>
        <w:jc w:val="center"/>
        <w:rPr>
          <w:rFonts w:hint="eastAsia" w:ascii="宋体" w:hAnsi="宋体"/>
          <w:b/>
          <w:bCs/>
          <w:sz w:val="44"/>
          <w:szCs w:val="44"/>
        </w:rPr>
      </w:pPr>
      <w:r>
        <w:rPr>
          <w:rFonts w:hint="eastAsia" w:ascii="宋体" w:hAnsi="宋体"/>
          <w:b/>
          <w:bCs/>
          <w:sz w:val="44"/>
          <w:szCs w:val="44"/>
        </w:rPr>
        <w:t>涉案企业合规第三方监督评估机制</w:t>
      </w:r>
    </w:p>
    <w:p>
      <w:pPr>
        <w:spacing w:line="560" w:lineRule="exact"/>
        <w:jc w:val="center"/>
        <w:rPr>
          <w:rFonts w:ascii="宋体" w:hAnsi="宋体"/>
          <w:b/>
          <w:bCs/>
          <w:sz w:val="44"/>
          <w:szCs w:val="44"/>
        </w:rPr>
      </w:pPr>
      <w:r>
        <w:rPr>
          <w:rFonts w:hint="eastAsia" w:ascii="宋体" w:hAnsi="宋体"/>
          <w:b/>
          <w:bCs/>
          <w:sz w:val="44"/>
          <w:szCs w:val="44"/>
        </w:rPr>
        <w:t>专业人员选任说明</w:t>
      </w:r>
    </w:p>
    <w:p>
      <w:pPr>
        <w:spacing w:line="560" w:lineRule="exact"/>
      </w:pPr>
    </w:p>
    <w:p>
      <w:pPr>
        <w:ind w:firstLine="640" w:firstLineChars="200"/>
        <w:rPr>
          <w:rFonts w:ascii="黑体" w:hAnsi="黑体" w:eastAsia="黑体"/>
          <w:sz w:val="32"/>
          <w:szCs w:val="32"/>
        </w:rPr>
      </w:pPr>
      <w:r>
        <w:rPr>
          <w:rFonts w:hint="eastAsia" w:ascii="黑体" w:hAnsi="黑体" w:eastAsia="黑体"/>
          <w:sz w:val="32"/>
          <w:szCs w:val="32"/>
        </w:rPr>
        <w:t>一、什么是涉案企业合规第三方监督评估机制？</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涉案企业合规第三方监督评估机制，是指人民检察院在办理涉企犯罪案件时，对符合企业合规改革试点适用条件的，交由第三方监督评估机制管理委员会选任组成的第三方监督评估组织，对涉案企业的合规承诺进行调查、评估、监督和考察。考察结果作为检察机关依法处理案件的重要参考。</w:t>
      </w:r>
    </w:p>
    <w:p>
      <w:pPr>
        <w:pStyle w:val="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机制主要适用于公司、企业等市场主体在生产经营活动中涉及的经济犯罪、职务犯罪等案件，既包括公司、企业等实施的单位犯罪案件，也包括公司、企业实际控制人、经营管理人员、关键技术人员等实施的与生产经营活动密切相关的犯罪案件。</w:t>
      </w:r>
    </w:p>
    <w:p>
      <w:pPr>
        <w:ind w:firstLine="640" w:firstLineChars="200"/>
        <w:rPr>
          <w:rFonts w:ascii="黑体" w:hAnsi="黑体" w:eastAsia="黑体"/>
          <w:sz w:val="32"/>
          <w:szCs w:val="32"/>
        </w:rPr>
      </w:pPr>
      <w:r>
        <w:rPr>
          <w:rFonts w:hint="eastAsia" w:ascii="黑体" w:hAnsi="黑体" w:eastAsia="黑体"/>
          <w:sz w:val="32"/>
          <w:szCs w:val="32"/>
        </w:rPr>
        <w:t>二、泰州市涉案企业合规第三方监督评估机制管委会由哪些单位共同组建？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市检察院、市</w:t>
      </w:r>
      <w:bookmarkStart w:id="0" w:name="_Hlk83741346"/>
      <w:r>
        <w:rPr>
          <w:rFonts w:hint="eastAsia" w:ascii="仿宋_GB2312" w:hAnsi="仿宋_GB2312" w:eastAsia="仿宋_GB2312" w:cs="仿宋_GB2312"/>
          <w:sz w:val="32"/>
          <w:szCs w:val="32"/>
        </w:rPr>
        <w:t>财政局</w:t>
      </w:r>
      <w:bookmarkEnd w:id="0"/>
      <w:r>
        <w:rPr>
          <w:rFonts w:hint="eastAsia" w:ascii="仿宋_GB2312" w:hAnsi="仿宋_GB2312" w:eastAsia="仿宋_GB2312" w:cs="仿宋_GB2312"/>
          <w:sz w:val="32"/>
          <w:szCs w:val="32"/>
        </w:rPr>
        <w:t>、市司法局、市生态环境局、市</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国资委、市税务局、市市场监督管理局、市应急管理局、泰州海关缉私分局、省药监局泰州检查分局、市工商联等部门组建第三方机制管委会，办公室设在市工商联，市工商联和市检察院负责承担管委会的日常工作，市国资委负责承担管委会中涉及泰州国有企业的日常工作。</w:t>
      </w:r>
    </w:p>
    <w:p>
      <w:pPr>
        <w:ind w:firstLine="640" w:firstLineChars="200"/>
        <w:rPr>
          <w:rFonts w:ascii="黑体" w:hAnsi="黑体" w:eastAsia="黑体"/>
          <w:sz w:val="32"/>
          <w:szCs w:val="32"/>
        </w:rPr>
      </w:pPr>
      <w:r>
        <w:rPr>
          <w:rFonts w:hint="eastAsia" w:ascii="黑体" w:hAnsi="黑体" w:eastAsia="黑体"/>
          <w:sz w:val="32"/>
          <w:szCs w:val="32"/>
        </w:rPr>
        <w:t>三、什么是第三方机制专业人员名录库？</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答：</w:t>
      </w:r>
      <w:r>
        <w:rPr>
          <w:rFonts w:hint="eastAsia" w:ascii="仿宋_GB2312" w:hAnsi="仿宋_GB2312" w:eastAsia="仿宋_GB2312" w:cs="仿宋_GB2312"/>
          <w:sz w:val="32"/>
          <w:szCs w:val="32"/>
        </w:rPr>
        <w:t>第三方机制专业人员名录库，是指由第三方机制管委会经过严格程序选任产生，具备相关领域专业知识与技能，作为第三方组织成员人选的综合性人才库。其成员可以包括相关领域专家、学者以及有关机构、行业协会、商会、社会团体等组织的专业人员等。</w:t>
      </w:r>
      <w:r>
        <w:rPr>
          <w:rFonts w:ascii="仿宋_GB2312" w:hAnsi="仿宋_GB2312" w:eastAsia="仿宋_GB2312" w:cs="仿宋_GB2312"/>
          <w:sz w:val="32"/>
          <w:szCs w:val="32"/>
        </w:rPr>
        <w:t>政府部门</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所属事业单位具有专业知识的人员可以</w:t>
      </w:r>
      <w:r>
        <w:rPr>
          <w:rFonts w:hint="eastAsia" w:ascii="仿宋_GB2312" w:hAnsi="仿宋_GB2312" w:eastAsia="仿宋_GB2312" w:cs="仿宋_GB2312"/>
          <w:sz w:val="32"/>
          <w:szCs w:val="32"/>
        </w:rPr>
        <w:t>选任为</w:t>
      </w:r>
      <w:r>
        <w:rPr>
          <w:rFonts w:ascii="仿宋_GB2312" w:hAnsi="仿宋_GB2312" w:eastAsia="仿宋_GB2312" w:cs="仿宋_GB2312"/>
          <w:sz w:val="32"/>
          <w:szCs w:val="32"/>
        </w:rPr>
        <w:t>第三方机制专业人员</w:t>
      </w:r>
      <w:r>
        <w:rPr>
          <w:rFonts w:hint="eastAsia" w:ascii="仿宋_GB2312" w:hAnsi="仿宋_GB2312"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四、入选第三方机制专业人员名录库的主要职责是什么？</w:t>
      </w:r>
    </w:p>
    <w:p>
      <w:pPr>
        <w:ind w:firstLine="640" w:firstLineChars="200"/>
        <w:rPr>
          <w:rFonts w:ascii="仿宋_GB2312" w:hAnsi="仿宋_GB2312" w:eastAsia="仿宋_GB2312" w:cs="仿宋_GB2312"/>
          <w:bCs/>
          <w:spacing w:val="8"/>
          <w:kern w:val="0"/>
          <w:sz w:val="32"/>
          <w:szCs w:val="32"/>
        </w:rPr>
      </w:pPr>
      <w:r>
        <w:rPr>
          <w:rFonts w:hint="eastAsia" w:ascii="黑体" w:hAnsi="黑体" w:eastAsia="黑体" w:cs="黑体"/>
          <w:sz w:val="32"/>
          <w:szCs w:val="32"/>
        </w:rPr>
        <w:t>答：</w:t>
      </w:r>
      <w:r>
        <w:rPr>
          <w:rFonts w:hint="eastAsia" w:ascii="仿宋_GB2312" w:hAnsi="仿宋_GB2312" w:eastAsia="仿宋_GB2312" w:cs="仿宋_GB2312"/>
          <w:sz w:val="32"/>
          <w:szCs w:val="32"/>
        </w:rPr>
        <w:t>入选第三方机制专业人员名录库人员的职责，主要是由第三方机制管委会根据检察机关办理涉企案件需要，从名录库中分类随机抽取确定，组成第三方组织，对涉案企业合规计划的制定和执行完成情况及其效果等进行审查、监督、评估，并制作合规考察书面报告，作为检察机关对案件依法作出处理的重要参考。</w:t>
      </w:r>
    </w:p>
    <w:p>
      <w:pPr>
        <w:ind w:firstLine="640" w:firstLineChars="200"/>
        <w:rPr>
          <w:rFonts w:ascii="黑体" w:hAnsi="黑体" w:eastAsia="黑体"/>
          <w:sz w:val="32"/>
          <w:szCs w:val="32"/>
        </w:rPr>
      </w:pPr>
      <w:r>
        <w:rPr>
          <w:rFonts w:hint="eastAsia" w:ascii="黑体" w:hAnsi="黑体" w:eastAsia="黑体"/>
          <w:sz w:val="32"/>
          <w:szCs w:val="32"/>
        </w:rPr>
        <w:t>五、第三方机制专业人员在履职过程中享有哪些权利？</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答：1.获取相关文件资料、接受业务培训；2.获取相关报酬（公职人员不得违反兼职取酬相关规定）；3.了解相关案件情况；4.因履职受到权利侵害的，有权向第三方机制管委会或相关部门投诉、举报。</w:t>
      </w:r>
    </w:p>
    <w:p>
      <w:pPr>
        <w:ind w:firstLine="640" w:firstLineChars="200"/>
        <w:rPr>
          <w:rFonts w:ascii="黑体" w:hAnsi="黑体" w:eastAsia="黑体"/>
          <w:sz w:val="32"/>
          <w:szCs w:val="32"/>
        </w:rPr>
      </w:pPr>
      <w:r>
        <w:rPr>
          <w:rFonts w:hint="eastAsia" w:ascii="黑体" w:hAnsi="黑体" w:eastAsia="黑体"/>
          <w:sz w:val="32"/>
          <w:szCs w:val="32"/>
        </w:rPr>
        <w:t>六、第三方机制专业人员应当履行哪些义务？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答：第三方机制专业人员应当遵纪守法、勤勉尽责，客观中立；严格遵守有关任职保密、回避、廉洁；不得感染企业正常生产经营活动。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组织组成人员系律师、注册会计师、税务师（注册税务师）等中介组织人员的，在履行第三方监督评估职责期间不得违反规定接受可能有利益关系的业务；在履行第三方监督评估职责结束后一年以内，上述人员及其所在中介组织不得接受涉案企业、个人或者其他有利益关系的单位、人员的业务。</w:t>
      </w:r>
    </w:p>
    <w:p>
      <w:pPr>
        <w:ind w:firstLine="640" w:firstLineChars="200"/>
        <w:rPr>
          <w:rFonts w:ascii="黑体" w:hAnsi="黑体" w:eastAsia="黑体"/>
          <w:sz w:val="32"/>
          <w:szCs w:val="32"/>
        </w:rPr>
      </w:pPr>
      <w:r>
        <w:rPr>
          <w:rFonts w:hint="eastAsia" w:ascii="黑体" w:hAnsi="黑体" w:eastAsia="黑体"/>
          <w:sz w:val="32"/>
          <w:szCs w:val="32"/>
        </w:rPr>
        <w:t>七、第三方机制专业人员如何管理？</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答：</w:t>
      </w:r>
      <w:r>
        <w:rPr>
          <w:rFonts w:hint="eastAsia" w:ascii="仿宋_GB2312" w:hAnsi="仿宋_GB2312" w:eastAsia="仿宋_GB2312" w:cs="仿宋_GB2312"/>
          <w:sz w:val="32"/>
          <w:szCs w:val="32"/>
        </w:rPr>
        <w:t>第三方机制管委会可以通过定期考核、一案一评和随机抽查等方式，对第三方机制专业人员进行考核评价。考核结果作为对第三方机制专业人员表彰奖励、是否续任的重要依据。</w:t>
      </w:r>
    </w:p>
    <w:p>
      <w:pPr>
        <w:pStyle w:val="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第三方机制管委会应当根据工作需要，结合履职台账、考核情况以及本人意愿、所在单位意见等，及时对名录库人员进行动态调整。</w:t>
      </w:r>
    </w:p>
    <w:p>
      <w:pPr>
        <w:pStyle w:val="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第三方机制专业人员名录库入库人员的任职期限一般为三年，经第三方机制管委会审核，期满后可以续任。</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2125B"/>
    <w:rsid w:val="3582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2022-01-04T07:49:00Z</dcterms:created>
  <dc:creator>亚文化</dc:creator>
  <cp:lastModifiedBy>亚文化</cp:lastModifiedBy>
  <dcterms:modified xsi:type="dcterms:W3CDTF">2022-01-04T07:49:31Z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D04AC090CC0449B6B955BB134A7B2F22</vt:lpwstr>
  </property>
</Properties>
</file>